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12C3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674620" cy="9906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2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sz w:val="22"/>
                <w:szCs w:val="22"/>
              </w:rPr>
            </w:pPr>
          </w:p>
          <w:p w:rsidR="00000000" w:rsidRDefault="00F96563">
            <w:pPr>
              <w:jc w:val="center"/>
              <w:rPr>
                <w:rFonts w:ascii="Bookman Old Style" w:hAnsi="Bookman Old Style" w:cs="Bookman Old Style"/>
                <w:b/>
                <w:bCs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b/>
                <w:bCs/>
                <w:sz w:val="28"/>
                <w:szCs w:val="28"/>
              </w:rPr>
              <w:t>AZIENDA SPECIALE CONSORTILE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PER LA GESTIONE DELLE POLITICHE SOCIALI</w:t>
            </w:r>
          </w:p>
          <w:p w:rsidR="00000000" w:rsidRDefault="00F96563">
            <w:pPr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NEI COMUNI DELL'AMBITO TERRITORIALE N.A1</w:t>
            </w:r>
          </w:p>
          <w:p w:rsidR="00000000" w:rsidRDefault="00F96563">
            <w:pPr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Via Fontananuova - 83031 Ariano Irpino (AV)</w:t>
            </w:r>
          </w:p>
          <w:p w:rsidR="00000000" w:rsidRDefault="00F96563">
            <w:pPr>
              <w:jc w:val="center"/>
              <w:rPr>
                <w:rFonts w:ascii="Bookman Old Style" w:hAnsi="Bookman Old Style" w:cs="Bookman Old Style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 xml:space="preserve">   </w:t>
            </w:r>
            <w:r>
              <w:rPr>
                <w:rFonts w:ascii="Bookman Old Style" w:hAnsi="Bookman Old Style" w:cs="Bookman Old Style"/>
                <w:color w:val="000000"/>
                <w:sz w:val="16"/>
                <w:szCs w:val="16"/>
              </w:rPr>
              <w:t>P.IVA 02706910649</w:t>
            </w:r>
          </w:p>
          <w:p w:rsidR="00000000" w:rsidRDefault="00F96563">
            <w:pP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</w:p>
          <w:p w:rsidR="00000000" w:rsidRDefault="00F96563">
            <w:pPr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</w:p>
          <w:p w:rsidR="00000000" w:rsidRDefault="00F96563">
            <w:pPr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  <w:t>Determinazione del Direttore Generale</w:t>
            </w:r>
          </w:p>
          <w:p w:rsidR="00000000" w:rsidRDefault="00F96563">
            <w:pPr>
              <w:jc w:val="center"/>
              <w:rPr>
                <w:rFonts w:ascii="Bookman Old Style" w:hAnsi="Bookman Old Style" w:cs="Bookman Old Style"/>
                <w:b/>
                <w:bCs/>
                <w:sz w:val="24"/>
                <w:szCs w:val="24"/>
              </w:rPr>
            </w:pPr>
          </w:p>
        </w:tc>
      </w:tr>
    </w:tbl>
    <w:p w:rsidR="00000000" w:rsidRDefault="00F96563">
      <w:pPr>
        <w:jc w:val="center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sz w:val="24"/>
          <w:szCs w:val="24"/>
        </w:rPr>
        <w:t xml:space="preserve">N. </w:t>
      </w:r>
      <w:r>
        <w:rPr>
          <w:rFonts w:ascii="Bookman Old Style" w:hAnsi="Bookman Old Style" w:cs="Bookman Old Style"/>
          <w:b/>
          <w:bCs/>
        </w:rPr>
        <w:t>437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sz w:val="24"/>
          <w:szCs w:val="24"/>
        </w:rPr>
        <w:t>del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b/>
          <w:bCs/>
        </w:rPr>
        <w:t>04/12/2025</w:t>
      </w:r>
    </w:p>
    <w:tbl>
      <w:tblPr>
        <w:tblW w:w="96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</w:pPr>
          </w:p>
        </w:tc>
      </w:tr>
    </w:tbl>
    <w:p w:rsidR="00000000" w:rsidRDefault="00F96563">
      <w:pPr>
        <w:rPr>
          <w:rFonts w:ascii="Bookman Old Style" w:hAnsi="Bookman Old Style" w:cs="Bookman Old Style"/>
          <w:sz w:val="22"/>
          <w:szCs w:val="22"/>
        </w:rPr>
      </w:pPr>
    </w:p>
    <w:tbl>
      <w:tblPr>
        <w:tblW w:w="960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965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Oggetto: Liquidazione saldo finale della spesa per l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anno 2024 Fondazione </w:t>
            </w:r>
            <w:r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V. Mainieri</w:t>
            </w:r>
            <w:r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ai sensi all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accordo di co-programmazione della rete partenariale tra enti pubblici</w:t>
            </w:r>
            <w:r>
              <w:rPr>
                <w:sz w:val="24"/>
                <w:szCs w:val="24"/>
              </w:rPr>
              <w:t xml:space="preserve"> e privati appartenenti al terzo settore ex D. Lgs. n.117/2017 per l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attuazione delle attività del Centro Sociale Polifunzionale </w:t>
            </w:r>
            <w:r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V.Mainieri</w:t>
            </w:r>
            <w:r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per persone con disabilità.</w:t>
            </w:r>
          </w:p>
        </w:tc>
      </w:tr>
    </w:tbl>
    <w:p w:rsidR="00000000" w:rsidRDefault="00F96563">
      <w:pPr>
        <w:rPr>
          <w:rFonts w:ascii="Arial" w:hAnsi="Arial" w:cs="Arial"/>
          <w:b/>
          <w:bCs/>
          <w:color w:val="008000"/>
          <w:sz w:val="24"/>
          <w:szCs w:val="24"/>
        </w:rPr>
      </w:pPr>
    </w:p>
    <w:p w:rsidR="00000000" w:rsidRDefault="00F96563">
      <w:pPr>
        <w:rPr>
          <w:sz w:val="24"/>
          <w:szCs w:val="24"/>
        </w:rPr>
      </w:pPr>
    </w:p>
    <w:p w:rsidR="00000000" w:rsidRDefault="00F96563">
      <w:pPr>
        <w:rPr>
          <w:rFonts w:ascii="Bookman Old Style" w:hAnsi="Bookman Old Style" w:cs="Bookman Old Style"/>
          <w:sz w:val="24"/>
          <w:szCs w:val="24"/>
        </w:rPr>
      </w:pPr>
    </w:p>
    <w:p w:rsidR="00000000" w:rsidRDefault="00F96563">
      <w:pPr>
        <w:jc w:val="center"/>
        <w:rPr>
          <w:rFonts w:ascii="Bookman Old Style" w:hAnsi="Bookman Old Style" w:cs="Bookman Old Style"/>
          <w:b/>
          <w:bCs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IL DIRETTORE GENERALE</w:t>
      </w:r>
    </w:p>
    <w:p w:rsidR="00000000" w:rsidRDefault="00F96563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00000" w:rsidRDefault="00F96563">
      <w:pPr>
        <w:ind w:firstLine="720"/>
        <w:jc w:val="both"/>
        <w:rPr>
          <w:rFonts w:ascii="Tahoma" w:hAnsi="Tahoma" w:cs="Tahoma"/>
          <w:color w:val="002060"/>
          <w:sz w:val="24"/>
          <w:szCs w:val="24"/>
        </w:rPr>
      </w:pPr>
      <w:r>
        <w:rPr>
          <w:rFonts w:ascii="Tahoma" w:hAnsi="Tahoma" w:cs="Tahoma"/>
          <w:color w:val="002060"/>
          <w:sz w:val="24"/>
          <w:szCs w:val="24"/>
        </w:rPr>
        <w:t>Alla stregua della istruttoria resa dalla UO responsabile dei Centri Sociali Polifunzionali delle persone con disabilità attestante regolarità tecnica ed amministrativa del procedimento, delle risultanze e degli atti richiamati nelle successive premesse, n</w:t>
      </w:r>
      <w:r>
        <w:rPr>
          <w:rFonts w:ascii="Tahoma" w:hAnsi="Tahoma" w:cs="Tahoma"/>
          <w:color w:val="002060"/>
          <w:sz w:val="24"/>
          <w:szCs w:val="24"/>
        </w:rPr>
        <w:t>onché della attestazione di regolarità espressa dal Direttore generale ai sensi dell'art.147 bis del D.lgs.267/2000 con la sottoscrizione del provvedimento.</w:t>
      </w:r>
      <w:r>
        <w:rPr>
          <w:rFonts w:ascii="Tahoma" w:hAnsi="Tahoma" w:cs="Tahoma"/>
          <w:color w:val="002060"/>
          <w:sz w:val="24"/>
          <w:szCs w:val="24"/>
        </w:rPr>
        <w:tab/>
      </w:r>
    </w:p>
    <w:p w:rsidR="00000000" w:rsidRDefault="00F96563">
      <w:pPr>
        <w:spacing w:before="100" w:after="100"/>
        <w:ind w:firstLine="720"/>
        <w:jc w:val="both"/>
        <w:rPr>
          <w:rFonts w:ascii="Tahoma" w:hAnsi="Tahoma" w:cs="Tahoma"/>
          <w:b/>
          <w:bCs/>
          <w:sz w:val="24"/>
          <w:szCs w:val="24"/>
        </w:rPr>
      </w:pPr>
    </w:p>
    <w:p w:rsidR="00000000" w:rsidRDefault="00F96563">
      <w:pPr>
        <w:spacing w:before="100" w:after="100"/>
        <w:ind w:firstLine="720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Premesso: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Che l'ambito territoriale A01 ha programmato la rete dei servizi a beneficio delle per</w:t>
      </w:r>
      <w:r>
        <w:rPr>
          <w:rFonts w:ascii="Tahoma" w:hAnsi="Tahoma" w:cs="Tahoma"/>
        </w:rPr>
        <w:t>sone con disabilità;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Che in particolare sono programmati interventi in favore delle persone con disabilità, anche attraverso il servizio </w:t>
      </w:r>
      <w:r>
        <w:rPr>
          <w:rFonts w:ascii="Tahoma" w:hAnsi="Tahoma" w:cs="Tahoma"/>
        </w:rPr>
        <w:t>“</w:t>
      </w:r>
      <w:r>
        <w:rPr>
          <w:rFonts w:ascii="Tahoma" w:hAnsi="Tahoma" w:cs="Tahoma"/>
        </w:rPr>
        <w:t>Centro sociale polifunzionale</w:t>
      </w:r>
      <w:r>
        <w:rPr>
          <w:rFonts w:ascii="Tahoma" w:hAnsi="Tahoma" w:cs="Tahoma"/>
        </w:rPr>
        <w:t>”</w:t>
      </w:r>
      <w:r>
        <w:rPr>
          <w:rFonts w:ascii="Tahoma" w:hAnsi="Tahoma" w:cs="Tahoma"/>
        </w:rPr>
        <w:t>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Che la finalità del servizio è di favorire la socialità consentendo il recupero dell</w:t>
      </w:r>
      <w:r>
        <w:rPr>
          <w:rFonts w:ascii="Tahoma" w:hAnsi="Tahoma" w:cs="Tahoma"/>
        </w:rPr>
        <w:t>'autonomia attuando piani personalizzati nonché di supportare le famiglie che sostengono i carichi di cura degli interessati;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Che al servizio hanno accesso persone con disabilità di ambo i sessi con disabilità </w:t>
      </w:r>
      <w:r>
        <w:rPr>
          <w:rFonts w:ascii="Tahoma" w:hAnsi="Tahoma" w:cs="Tahoma"/>
        </w:rPr>
        <w:lastRenderedPageBreak/>
        <w:t>psico-fisiche, sensoriali e psicomotorie, ch</w:t>
      </w:r>
      <w:r>
        <w:rPr>
          <w:rFonts w:ascii="Tahoma" w:hAnsi="Tahoma" w:cs="Tahoma"/>
        </w:rPr>
        <w:t>e presentano necessità di sviluppare le relazioni sociali mantenendo e/o migliorando capacità residue ed autonomia personale;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la Fondazione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V. Mainieri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>, in piena autonomia funzionale e gestionale, è autorizzata ai sensi del R.R. 4/2014 giusto provve</w:t>
      </w:r>
      <w:r>
        <w:rPr>
          <w:rFonts w:ascii="Tahoma" w:hAnsi="Tahoma" w:cs="Tahoma"/>
          <w:sz w:val="24"/>
          <w:szCs w:val="24"/>
        </w:rPr>
        <w:t xml:space="preserve">dimento autorizzativo del direttore generale n. 413 del 18/11/2021; 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con determinazione generale n. 192 del 17/05/2023 l'Azienda Speciale Consortile A01 ha accreditato per i servizi semi-residenziali la Struttura denominata </w:t>
      </w:r>
      <w:r>
        <w:rPr>
          <w:rFonts w:ascii="Tahoma" w:hAnsi="Tahoma" w:cs="Tahoma"/>
          <w:b/>
          <w:bCs/>
          <w:sz w:val="24"/>
          <w:szCs w:val="24"/>
        </w:rPr>
        <w:t>“</w:t>
      </w:r>
      <w:r>
        <w:rPr>
          <w:rFonts w:ascii="Tahoma" w:hAnsi="Tahoma" w:cs="Tahoma"/>
          <w:b/>
          <w:bCs/>
          <w:sz w:val="24"/>
          <w:szCs w:val="24"/>
        </w:rPr>
        <w:t>Fondaz</w:t>
      </w:r>
      <w:r>
        <w:rPr>
          <w:rFonts w:ascii="Tahoma" w:hAnsi="Tahoma" w:cs="Tahoma"/>
          <w:b/>
          <w:bCs/>
          <w:sz w:val="24"/>
          <w:szCs w:val="24"/>
        </w:rPr>
        <w:t>ione Vincenzo Mainieri Onlus</w:t>
      </w:r>
      <w:r>
        <w:rPr>
          <w:rFonts w:ascii="Tahoma" w:hAnsi="Tahoma" w:cs="Tahoma"/>
          <w:b/>
          <w:bCs/>
          <w:sz w:val="24"/>
          <w:szCs w:val="24"/>
        </w:rPr>
        <w:t>”</w:t>
      </w:r>
      <w:r>
        <w:rPr>
          <w:rFonts w:ascii="Tahoma" w:hAnsi="Tahoma" w:cs="Tahoma"/>
          <w:b/>
          <w:bCs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 xml:space="preserve">per n. 30 posti, rientrante nella tipologia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Centro Sociale Polifunzionale per Disabili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area di intervento Persone con disabilità</w:t>
      </w:r>
      <w:r>
        <w:rPr>
          <w:rFonts w:ascii="Tahoma" w:hAnsi="Tahoma" w:cs="Tahoma"/>
          <w:b/>
          <w:bCs/>
          <w:i/>
          <w:iCs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di cui al Catalogo dei servizi sezione A del Regolamento n. 4 del 7 aprile 2014;</w:t>
      </w:r>
    </w:p>
    <w:p w:rsidR="00000000" w:rsidRDefault="00F96563">
      <w:pPr>
        <w:pStyle w:val="Corpotesto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Considerat</w:t>
      </w:r>
      <w:r>
        <w:rPr>
          <w:rFonts w:ascii="Tahoma" w:hAnsi="Tahoma" w:cs="Tahoma"/>
        </w:rPr>
        <w:t>o:</w:t>
      </w:r>
    </w:p>
    <w:p w:rsidR="00000000" w:rsidRDefault="00F96563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 in data 13/12/2023 è stato definito l'accordo procedimentale di co-programmazione della rete partenariale tra enti pubblici e privati appartenenti al terzo settore, ex D.Lgs. n. 117/2017, per l'attuazione delle attività del Centro Sociale Polifunzi</w:t>
      </w:r>
      <w:r>
        <w:rPr>
          <w:rFonts w:ascii="Tahoma" w:hAnsi="Tahoma" w:cs="Tahoma"/>
          <w:sz w:val="24"/>
          <w:szCs w:val="24"/>
        </w:rPr>
        <w:t xml:space="preserve">onale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V. Mainieri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per persone con disabilità;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con il predetto atto vengono disciplinate tra le parti i compiti, rapporti e reciproche competenze ai fini dell'attuazione delle attività del Centro Sociale Polifunzionale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V. Manieri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per persone con di</w:t>
      </w:r>
      <w:r>
        <w:rPr>
          <w:rFonts w:ascii="Tahoma" w:hAnsi="Tahoma" w:cs="Tahoma"/>
          <w:sz w:val="24"/>
          <w:szCs w:val="24"/>
        </w:rPr>
        <w:t>sabilità con decorrenza dal 01/01/2024 al 31/12/2024;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 gli interventi sono prestati, sulla scorta della valutazione del bisogno effettuata e delle progettualità personalizzate stabilite nei singoli PAI, a beneficio degli ospiti da parte del servizio au</w:t>
      </w:r>
      <w:r>
        <w:rPr>
          <w:rFonts w:ascii="Tahoma" w:hAnsi="Tahoma" w:cs="Tahoma"/>
          <w:sz w:val="24"/>
          <w:szCs w:val="24"/>
        </w:rPr>
        <w:t>torizzato;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le attività debbano avvenire nel pieno rispetto della vigente normativa regionale per cui è stata rilasciata l'autorizzazione ai sensi del Reg. Reg. 4/2014, nonché mediante la trasmissione mensile del registro presenze ospiti/utenti in cui </w:t>
      </w:r>
      <w:r>
        <w:rPr>
          <w:rFonts w:ascii="Tahoma" w:hAnsi="Tahoma" w:cs="Tahoma"/>
          <w:sz w:val="24"/>
          <w:szCs w:val="24"/>
        </w:rPr>
        <w:t>si evinca la disabilità certificata dalle competenti amministrazioni; le attività svolte saranno quelle enunciate nella carta dei servizi da parte della Fondazione Mainieri, che dispone di piena autonomia gestionale e funzionale;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la Fondazione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V.Main</w:t>
      </w:r>
      <w:r>
        <w:rPr>
          <w:rFonts w:ascii="Tahoma" w:hAnsi="Tahoma" w:cs="Tahoma"/>
          <w:sz w:val="24"/>
          <w:szCs w:val="24"/>
        </w:rPr>
        <w:t>ieri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si assume in ogni caso la responsabilità in ordine alla mancata, alla parziale o inadeguata realizzazione del programma individualizzato definito;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 l'ASC A1 promuove anche la partecipazione alle attività sulla base delle prese in carico effettuat</w:t>
      </w:r>
      <w:r>
        <w:rPr>
          <w:rFonts w:ascii="Tahoma" w:hAnsi="Tahoma" w:cs="Tahoma"/>
          <w:sz w:val="24"/>
          <w:szCs w:val="24"/>
        </w:rPr>
        <w:t>e dal Sevizio Sociale Professionale;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 l'ASC A1 svolgerà le funzioni di amministrazione competente previste dal R.R. 4/14. Inoltre essa promuoverà anche la partecipazione alle attività svolte sulla base delle prese in carico effettuate dal Servizio Soci</w:t>
      </w:r>
      <w:r>
        <w:rPr>
          <w:rFonts w:ascii="Tahoma" w:hAnsi="Tahoma" w:cs="Tahoma"/>
          <w:sz w:val="24"/>
          <w:szCs w:val="24"/>
        </w:rPr>
        <w:t>ale Professionale;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la Fondazione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V. Mainieri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per tutta la durata dell'accordo prevede lo svolgimento delle attività previste nella carta dei servizi. Il servizio di trasporto sociale </w:t>
      </w:r>
      <w:r>
        <w:rPr>
          <w:rFonts w:ascii="Tahoma" w:hAnsi="Tahoma" w:cs="Tahoma"/>
          <w:sz w:val="24"/>
          <w:szCs w:val="24"/>
        </w:rPr>
        <w:lastRenderedPageBreak/>
        <w:t xml:space="preserve">verrà assicurato per tutti gli utenti del centro aventi residenza </w:t>
      </w:r>
      <w:r>
        <w:rPr>
          <w:rFonts w:ascii="Tahoma" w:hAnsi="Tahoma" w:cs="Tahoma"/>
          <w:sz w:val="24"/>
          <w:szCs w:val="24"/>
        </w:rPr>
        <w:t xml:space="preserve">nel Comune di Ariano Irpino avvalendosi in comodato d'uso gratuito, con responsabilità della custodia, di n.1 Autoveicolo – pullmino concesso già in precedenza dell'ASC A1 e finanziato nella misura 321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Servizi essenziali alle persone che vivono nei territ</w:t>
      </w:r>
      <w:r>
        <w:rPr>
          <w:rFonts w:ascii="Tahoma" w:hAnsi="Tahoma" w:cs="Tahoma"/>
          <w:sz w:val="24"/>
          <w:szCs w:val="24"/>
        </w:rPr>
        <w:t>ori rurali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tipologia a;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Considerato altresì:</w:t>
      </w:r>
    </w:p>
    <w:p w:rsidR="00000000" w:rsidRDefault="00F96563">
      <w:pPr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Che come stabilito nell'articolo 8 dell'accordo, il corrispettivo delle prestazioni pari ad una spesa massima di </w:t>
      </w:r>
      <w:r>
        <w:rPr>
          <w:rFonts w:ascii="Tahoma" w:hAnsi="Tahoma" w:cs="Tahoma"/>
        </w:rPr>
        <w:t>€</w:t>
      </w:r>
      <w:r>
        <w:rPr>
          <w:rFonts w:ascii="Tahoma" w:hAnsi="Tahoma" w:cs="Tahoma"/>
        </w:rPr>
        <w:t xml:space="preserve"> 100.000,00, sarà coperto a valere sulle risorse programmate nel Bilancio d'esercizio;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 co</w:t>
      </w:r>
      <w:r>
        <w:rPr>
          <w:rFonts w:ascii="Tahoma" w:hAnsi="Tahoma" w:cs="Tahoma"/>
          <w:sz w:val="24"/>
          <w:szCs w:val="24"/>
        </w:rPr>
        <w:t xml:space="preserve">n determinazione del direttore generale n. 407/2024 è stato effettuato l'impegno e l'approvazione della spesa riguardante il servizio centro sociale polifunzionale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V.Mainieri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per quanto riguarda l'anno 2024;</w:t>
      </w: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con determinazione generale n.90 del 20/02/2025 è stata effettuata la liquidazione di </w:t>
      </w:r>
      <w:r>
        <w:rPr>
          <w:rFonts w:ascii="Tahoma" w:hAnsi="Tahoma" w:cs="Tahoma"/>
          <w:sz w:val="24"/>
          <w:szCs w:val="24"/>
        </w:rPr>
        <w:t>€</w:t>
      </w:r>
      <w:r>
        <w:rPr>
          <w:rFonts w:ascii="Tahoma" w:hAnsi="Tahoma" w:cs="Tahoma"/>
          <w:sz w:val="24"/>
          <w:szCs w:val="24"/>
        </w:rPr>
        <w:t xml:space="preserve"> 30.000,00 quale acconto della spesa per l'anno 2024;</w:t>
      </w: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con determinazione generale n. 347 del 17/09/2025 è stata effettuata la liquidazione di </w:t>
      </w:r>
      <w:r>
        <w:rPr>
          <w:rFonts w:ascii="Tahoma" w:hAnsi="Tahoma" w:cs="Tahoma"/>
          <w:sz w:val="24"/>
          <w:szCs w:val="24"/>
        </w:rPr>
        <w:t>€</w:t>
      </w:r>
      <w:r>
        <w:rPr>
          <w:rFonts w:ascii="Tahoma" w:hAnsi="Tahoma" w:cs="Tahoma"/>
          <w:sz w:val="24"/>
          <w:szCs w:val="24"/>
        </w:rPr>
        <w:t xml:space="preserve"> 30.000,00 quale </w:t>
      </w:r>
      <w:r>
        <w:rPr>
          <w:rFonts w:ascii="Tahoma" w:hAnsi="Tahoma" w:cs="Tahoma"/>
          <w:sz w:val="24"/>
          <w:szCs w:val="24"/>
        </w:rPr>
        <w:t>seconda tranche della spesa per l'anno 2024;</w:t>
      </w: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 con ulteriore determinazione generale n. 416 del 18/11/2025 è stata effettuata la liquidazione di </w:t>
      </w:r>
      <w:r>
        <w:rPr>
          <w:rFonts w:ascii="Tahoma" w:hAnsi="Tahoma" w:cs="Tahoma"/>
          <w:sz w:val="24"/>
          <w:szCs w:val="24"/>
        </w:rPr>
        <w:t>€</w:t>
      </w:r>
      <w:r>
        <w:rPr>
          <w:rFonts w:ascii="Tahoma" w:hAnsi="Tahoma" w:cs="Tahoma"/>
          <w:sz w:val="24"/>
          <w:szCs w:val="24"/>
        </w:rPr>
        <w:t xml:space="preserve"> 20.000,00 quale terza tranche della spesa sempre riferita al suddetto anno; </w:t>
      </w:r>
    </w:p>
    <w:p w:rsidR="00000000" w:rsidRDefault="00F96563">
      <w:pPr>
        <w:pStyle w:val="Corpotesto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Visto:</w:t>
      </w:r>
    </w:p>
    <w:p w:rsidR="00000000" w:rsidRDefault="00F96563">
      <w:pPr>
        <w:pStyle w:val="Corpotesto"/>
        <w:rPr>
          <w:rFonts w:ascii="Tahoma" w:hAnsi="Tahoma" w:cs="Tahoma"/>
        </w:rPr>
      </w:pP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l'accordo procedimen</w:t>
      </w:r>
      <w:r>
        <w:rPr>
          <w:rFonts w:ascii="Tahoma" w:hAnsi="Tahoma" w:cs="Tahoma"/>
          <w:sz w:val="24"/>
          <w:szCs w:val="24"/>
        </w:rPr>
        <w:t xml:space="preserve">tale di co-programmazione della rete partenariale tra enti pubblici e privati appartenenti al terzo settore, ex D. Lgs. n. 117/2017, per l'attuazione delle attività del Centro Sociale Polifunzionale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V. Manieri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per persone con disabilità sottoscritto il 1</w:t>
      </w:r>
      <w:r>
        <w:rPr>
          <w:rFonts w:ascii="Tahoma" w:hAnsi="Tahoma" w:cs="Tahoma"/>
          <w:sz w:val="24"/>
          <w:szCs w:val="24"/>
        </w:rPr>
        <w:t xml:space="preserve">3/12/2023 tra i legali rappresentanti della Fondazione </w:t>
      </w:r>
      <w:r>
        <w:rPr>
          <w:rFonts w:ascii="Tahoma" w:hAnsi="Tahoma" w:cs="Tahoma"/>
          <w:sz w:val="24"/>
          <w:szCs w:val="24"/>
        </w:rPr>
        <w:t>“</w:t>
      </w:r>
      <w:r>
        <w:rPr>
          <w:rFonts w:ascii="Tahoma" w:hAnsi="Tahoma" w:cs="Tahoma"/>
          <w:sz w:val="24"/>
          <w:szCs w:val="24"/>
        </w:rPr>
        <w:t>V.Mainieri</w:t>
      </w:r>
      <w:r>
        <w:rPr>
          <w:rFonts w:ascii="Tahoma" w:hAnsi="Tahoma" w:cs="Tahoma"/>
          <w:sz w:val="24"/>
          <w:szCs w:val="24"/>
        </w:rPr>
        <w:t>”</w:t>
      </w:r>
      <w:r>
        <w:rPr>
          <w:rFonts w:ascii="Tahoma" w:hAnsi="Tahoma" w:cs="Tahoma"/>
          <w:sz w:val="24"/>
          <w:szCs w:val="24"/>
        </w:rPr>
        <w:t xml:space="preserve"> e l'Azienda Consortile dell'Ambito A01;</w:t>
      </w:r>
    </w:p>
    <w:p w:rsidR="00000000" w:rsidRDefault="00F96563">
      <w:pPr>
        <w:spacing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la documentazione pervenuta tramite pec dalla Fondazione </w:t>
      </w:r>
      <w:r>
        <w:rPr>
          <w:rFonts w:ascii="Tahoma" w:hAnsi="Tahoma" w:cs="Tahoma"/>
        </w:rPr>
        <w:t>“</w:t>
      </w:r>
      <w:r>
        <w:rPr>
          <w:rFonts w:ascii="Tahoma" w:hAnsi="Tahoma" w:cs="Tahoma"/>
        </w:rPr>
        <w:t>V.Mainieri</w:t>
      </w:r>
      <w:r>
        <w:rPr>
          <w:rFonts w:ascii="Tahoma" w:hAnsi="Tahoma" w:cs="Tahoma"/>
        </w:rPr>
        <w:t>”</w:t>
      </w:r>
      <w:r>
        <w:rPr>
          <w:rFonts w:ascii="Tahoma" w:hAnsi="Tahoma" w:cs="Tahoma"/>
        </w:rPr>
        <w:t xml:space="preserve"> al protocollo del Nostro ente, in merito a quanto stabilito nell'articolo 3 c</w:t>
      </w:r>
      <w:r>
        <w:rPr>
          <w:rFonts w:ascii="Tahoma" w:hAnsi="Tahoma" w:cs="Tahoma"/>
        </w:rPr>
        <w:t>omma 3 dell'accordo procedimentale di co-programmazione, ovvero la trasmissione mensile del registro degli ospiti/utenti in cui si evinca la disabilità certificata dalle competenti amministrazioni e nel dettaglio:</w:t>
      </w:r>
    </w:p>
    <w:p w:rsidR="00000000" w:rsidRDefault="00F96563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prot n. 522 del 01/02/2024 (mese di gen</w:t>
      </w:r>
      <w:r>
        <w:rPr>
          <w:rFonts w:ascii="Tahoma" w:hAnsi="Tahoma" w:cs="Tahoma"/>
          <w:sz w:val="24"/>
          <w:szCs w:val="24"/>
        </w:rPr>
        <w:t>naio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prot n. 1046 del 01/03/2024 (mese di febbraio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prot n. 1487 del 27/03/2024 (mese di marzo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prot. n. 2041 del 02/05/2024 (mese di aprile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prot.n.2679 del 03/06/2024 (mese di maggio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lastRenderedPageBreak/>
        <w:t>prot n. 3139 del 01/07/2024 (</w:t>
      </w:r>
      <w:r>
        <w:rPr>
          <w:rFonts w:ascii="Tahoma" w:hAnsi="Tahoma" w:cs="Tahoma"/>
          <w:color w:val="000000"/>
          <w:sz w:val="24"/>
          <w:szCs w:val="24"/>
        </w:rPr>
        <w:t>mese di giugno 2024;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prot. n 3678 del 01/08/2024 (mese di luglio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prot n. 4006 del 02/09/2024 (mese di agosto 2024;)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prot n. 4566 del 02/10/2024 (mese di settembre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prot n. 5238 del 31/10/2024 (mese di ottobre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prot n. 5796 del </w:t>
      </w:r>
      <w:r>
        <w:rPr>
          <w:rFonts w:ascii="Tahoma" w:hAnsi="Tahoma" w:cs="Tahoma"/>
          <w:color w:val="000000"/>
          <w:sz w:val="24"/>
          <w:szCs w:val="24"/>
        </w:rPr>
        <w:t>28/11/2024 (mese di novembre 2024);</w:t>
      </w:r>
    </w:p>
    <w:p w:rsidR="00000000" w:rsidRDefault="00F96563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prot n. 6262 del 20/12/2024 (mese di dicembre 2024).</w:t>
      </w:r>
    </w:p>
    <w:p w:rsidR="00000000" w:rsidRDefault="00F96563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Il D.lgs. 267/2000;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La legge 241/1990;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Lo Statuto consortile;</w:t>
      </w:r>
    </w:p>
    <w:p w:rsidR="00000000" w:rsidRDefault="00F96563">
      <w:pPr>
        <w:pStyle w:val="Corpotesto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Ritenuto necessario di dover procedere alla liquidazione del saldo della spesa per un importo complessivo di </w:t>
      </w:r>
      <w:r>
        <w:rPr>
          <w:rFonts w:ascii="Tahoma" w:hAnsi="Tahoma" w:cs="Tahoma"/>
        </w:rPr>
        <w:t>€</w:t>
      </w:r>
      <w:r>
        <w:rPr>
          <w:rFonts w:ascii="Tahoma" w:hAnsi="Tahoma" w:cs="Tahoma"/>
        </w:rPr>
        <w:t xml:space="preserve"> 20.000,00 relativo alle prestazioni fornite dal 01/01/2024 al 31/12/2024 per l'attuazione delle attività del Centro Sociale Polifunzionale </w:t>
      </w:r>
      <w:r>
        <w:rPr>
          <w:rFonts w:ascii="Tahoma" w:hAnsi="Tahoma" w:cs="Tahoma"/>
        </w:rPr>
        <w:t>“</w:t>
      </w:r>
      <w:r>
        <w:rPr>
          <w:rFonts w:ascii="Tahoma" w:hAnsi="Tahoma" w:cs="Tahoma"/>
        </w:rPr>
        <w:t>V.Mai</w:t>
      </w:r>
      <w:r>
        <w:rPr>
          <w:rFonts w:ascii="Tahoma" w:hAnsi="Tahoma" w:cs="Tahoma"/>
        </w:rPr>
        <w:t>nieri</w:t>
      </w:r>
      <w:r>
        <w:rPr>
          <w:rFonts w:ascii="Tahoma" w:hAnsi="Tahoma" w:cs="Tahoma"/>
        </w:rPr>
        <w:t>”</w:t>
      </w:r>
      <w:r>
        <w:rPr>
          <w:rFonts w:ascii="Tahoma" w:hAnsi="Tahoma" w:cs="Tahoma"/>
        </w:rPr>
        <w:t xml:space="preserve"> per persone con disabilità;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jc w:val="center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DETERMINA</w:t>
      </w:r>
    </w:p>
    <w:p w:rsidR="00000000" w:rsidRDefault="00F96563">
      <w:pPr>
        <w:pStyle w:val="Corpotesto"/>
        <w:ind w:firstLine="708"/>
        <w:jc w:val="center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>Di approvare narrativa e premessa che del presente provvedimento formano parte integrante e sostanziale;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pStyle w:val="Corpotesto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Di liquidare a favore della Fondazione </w:t>
      </w:r>
      <w:r>
        <w:rPr>
          <w:rFonts w:ascii="Tahoma" w:hAnsi="Tahoma" w:cs="Tahoma"/>
        </w:rPr>
        <w:t>“</w:t>
      </w:r>
      <w:r>
        <w:rPr>
          <w:rFonts w:ascii="Tahoma" w:hAnsi="Tahoma" w:cs="Tahoma"/>
        </w:rPr>
        <w:t>Vincenzo Mainieri Onlus</w:t>
      </w:r>
      <w:r>
        <w:rPr>
          <w:rFonts w:ascii="Tahoma" w:hAnsi="Tahoma" w:cs="Tahoma"/>
        </w:rPr>
        <w:t>”</w:t>
      </w:r>
      <w:r>
        <w:rPr>
          <w:rFonts w:ascii="Tahoma" w:hAnsi="Tahoma" w:cs="Tahoma"/>
        </w:rPr>
        <w:t xml:space="preserve"> Centro socio educativo Psicomotorio p</w:t>
      </w:r>
      <w:r>
        <w:rPr>
          <w:rFonts w:ascii="Tahoma" w:hAnsi="Tahoma" w:cs="Tahoma"/>
        </w:rPr>
        <w:t xml:space="preserve">er disabili via Viggiano n.48 83031 Ariano Irpino (AV) l'importo di </w:t>
      </w:r>
      <w:r>
        <w:rPr>
          <w:rFonts w:ascii="Tahoma" w:hAnsi="Tahoma" w:cs="Tahoma"/>
        </w:rPr>
        <w:t>€</w:t>
      </w:r>
      <w:r>
        <w:rPr>
          <w:rFonts w:ascii="Tahoma" w:hAnsi="Tahoma" w:cs="Tahoma"/>
        </w:rPr>
        <w:t xml:space="preserve"> 20.000,00 quale saldo finale della spesa per l'anno 2024, tramite bonifico bancario BANCA C.C. di Flumeri Iban: IT26T0855375652016000305699 imputando la spesa medesima sul capitolo 1398.</w:t>
      </w:r>
      <w:r>
        <w:rPr>
          <w:rFonts w:ascii="Tahoma" w:hAnsi="Tahoma" w:cs="Tahoma"/>
        </w:rPr>
        <w:t>00 imp 52.01/2024 del bilancio 2025, in conto residui;</w:t>
      </w:r>
    </w:p>
    <w:p w:rsidR="00000000" w:rsidRDefault="00F96563">
      <w:pPr>
        <w:pStyle w:val="Corpotesto"/>
        <w:ind w:firstLine="708"/>
        <w:rPr>
          <w:rFonts w:ascii="Tahoma" w:hAnsi="Tahoma" w:cs="Tahoma"/>
        </w:rPr>
      </w:pPr>
    </w:p>
    <w:p w:rsidR="00000000" w:rsidRDefault="00F96563">
      <w:pPr>
        <w:spacing w:before="100" w:after="100"/>
        <w:ind w:firstLine="502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Di dare atto che dalle verifiche effettuate la Fondazione è in regola con gli obblighi previsti per il rilascio del Durc;</w:t>
      </w:r>
    </w:p>
    <w:p w:rsidR="00000000" w:rsidRDefault="00F96563">
      <w:pPr>
        <w:pStyle w:val="NormaleWeb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Di stabilire che il presente provvedimento comportando impegno di spesa diveng</w:t>
      </w:r>
      <w:r>
        <w:rPr>
          <w:rFonts w:ascii="Tahoma" w:hAnsi="Tahoma" w:cs="Tahoma"/>
        </w:rPr>
        <w:t>a esecutivo previo parere di regolarità contabile e finanziaria reso dal Responsabile del servizio Finanziario ai sensi dell'art. 151 comma 4 del D.lgs. 267/2000;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  <w:t>Di rendere atto che il presente provvedimento è adottato nel rispetto della competenza fin</w:t>
      </w:r>
      <w:r>
        <w:rPr>
          <w:rFonts w:ascii="Tahoma" w:hAnsi="Tahoma" w:cs="Tahoma"/>
        </w:rPr>
        <w:t>anziaria potenziata di cui all'allegato 4/2 del D.lgs. 118/2011, nonché compatibile con le disposizioni dell'articolo 9 del D.L. 01/07/2009, n. 78, convertito nella Legge n. 102/2009;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Di attestare la compatibilità monetaria della spesa indicata dal presen</w:t>
      </w:r>
      <w:r>
        <w:rPr>
          <w:rFonts w:ascii="Tahoma" w:hAnsi="Tahoma" w:cs="Tahoma"/>
        </w:rPr>
        <w:t>te provvedimento;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>Di comunicare ai sensi dell'art. 8 della legge nr. 241/1990 che il responsabile del procedimento è il Direttore generale dell'ente;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Di attestare la regolarità</w:t>
      </w:r>
      <w:r>
        <w:rPr>
          <w:rFonts w:ascii="Tahoma" w:hAnsi="Tahoma" w:cs="Tahoma"/>
        </w:rPr>
        <w:t xml:space="preserve"> tecnica ed amministrativa del presente provvedimento ai sensi dell'art.147 bis del D.lgs.267/2000.</w:t>
      </w:r>
    </w:p>
    <w:p w:rsidR="00000000" w:rsidRDefault="00F96563">
      <w:pPr>
        <w:pStyle w:val="NormaleWeb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Di attestare ai sensi dell'art. 6 comma 1 D.P.R. n. 62/2013, dell'art.6 bis della legge 07.06.1990 n. 241, come introdotto dall'art.1, comma 41 della legge </w:t>
      </w:r>
      <w:r>
        <w:rPr>
          <w:rFonts w:ascii="Tahoma" w:hAnsi="Tahoma" w:cs="Tahoma"/>
        </w:rPr>
        <w:t>06.11.2012 n.190, nonché delle linee guida n. 15 dell'ANAC approvate dal Consiglio dell'Autorità con delibera n. 494 del 05/06/2019, che non sussiste conflitto d'interesse per la UO che rende la istruttoria del procedimento nonché per il RUP sottoscrittore</w:t>
      </w:r>
      <w:r>
        <w:rPr>
          <w:rFonts w:ascii="Tahoma" w:hAnsi="Tahoma" w:cs="Tahoma"/>
        </w:rPr>
        <w:t xml:space="preserve"> del provvedimento finale di rilevanza esterna.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Di rendere noto che ai sensi dell'art. 3, comma 4 della legge 241/90 avverso il presente provvedimento è ammesso ricorso: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a)</w:t>
      </w:r>
      <w:r>
        <w:rPr>
          <w:rFonts w:ascii="Tahoma" w:hAnsi="Tahoma" w:cs="Tahoma"/>
        </w:rPr>
        <w:tab/>
        <w:t xml:space="preserve">giurisdizionale al TAR ai sensi dell'art. 2 lettera </w:t>
      </w:r>
      <w:r>
        <w:rPr>
          <w:rFonts w:ascii="Tahoma" w:hAnsi="Tahoma" w:cs="Tahoma"/>
        </w:rPr>
        <w:t>“</w:t>
      </w:r>
      <w:r>
        <w:rPr>
          <w:rFonts w:ascii="Tahoma" w:hAnsi="Tahoma" w:cs="Tahoma"/>
        </w:rPr>
        <w:t>b</w:t>
      </w:r>
      <w:r>
        <w:rPr>
          <w:rFonts w:ascii="Tahoma" w:hAnsi="Tahoma" w:cs="Tahoma"/>
        </w:rPr>
        <w:t>”</w:t>
      </w:r>
      <w:r>
        <w:rPr>
          <w:rFonts w:ascii="Tahoma" w:hAnsi="Tahoma" w:cs="Tahoma"/>
        </w:rPr>
        <w:t xml:space="preserve"> della legge 1034/71 e s. m</w:t>
      </w:r>
      <w:r>
        <w:rPr>
          <w:rFonts w:ascii="Tahoma" w:hAnsi="Tahoma" w:cs="Tahoma"/>
        </w:rPr>
        <w:t>. e i., entro 60 giorni dalla data in cui l'interessato ne abbia notizia;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b)</w:t>
      </w:r>
      <w:r>
        <w:rPr>
          <w:rFonts w:ascii="Tahoma" w:hAnsi="Tahoma" w:cs="Tahoma"/>
        </w:rPr>
        <w:tab/>
        <w:t>straordinario al Presidente della Repubblica per motivi di legittimità entro 120 giorni dal medesimo termine di cui sopra, ai sensi del DPR n. 1199/71;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Di pubblicare il presente </w:t>
      </w:r>
      <w:r>
        <w:rPr>
          <w:rFonts w:ascii="Tahoma" w:hAnsi="Tahoma" w:cs="Tahoma"/>
        </w:rPr>
        <w:t>atto in Albo pretorio per quindici giorni consecutivi ed altresì, in amministrazione trasparente in ottemperanza alle disposizioni previste dal D.lgs.33/2013;</w:t>
      </w:r>
    </w:p>
    <w:p w:rsidR="00000000" w:rsidRDefault="00F96563">
      <w:pPr>
        <w:pStyle w:val="NormaleWeb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Di trasmettere il presente provvedimento al Presidente del CDA dando atto che la pubblicazione d</w:t>
      </w:r>
      <w:r>
        <w:rPr>
          <w:rFonts w:ascii="Tahoma" w:hAnsi="Tahoma" w:cs="Tahoma"/>
        </w:rPr>
        <w:t xml:space="preserve">el provvedimento in albo pretorio è ad ogni effetto valevole di notifica agli interessati. </w:t>
      </w:r>
    </w:p>
    <w:p w:rsidR="00000000" w:rsidRDefault="00F96563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2"/>
        <w:gridCol w:w="3212"/>
        <w:gridCol w:w="321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IL DIRETTORE GENERALE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Dott. Vincenzo Solomita</w:t>
            </w:r>
          </w:p>
        </w:tc>
      </w:tr>
    </w:tbl>
    <w:p w:rsidR="00000000" w:rsidRDefault="00F96563">
      <w:pPr>
        <w:rPr>
          <w:rFonts w:ascii="Arial" w:hAnsi="Arial" w:cs="Arial"/>
          <w:b/>
          <w:bCs/>
          <w:color w:val="008000"/>
          <w:sz w:val="24"/>
          <w:szCs w:val="24"/>
        </w:rPr>
      </w:pPr>
    </w:p>
    <w:p w:rsidR="00000000" w:rsidRDefault="00F96563">
      <w:pPr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Firma autografa sostituita dall'indicazione a stampa,</w:t>
      </w:r>
      <w:r>
        <w:rPr>
          <w:rFonts w:ascii="Bookman Old Style" w:hAnsi="Bookman Old Style" w:cs="Bookman Old Style"/>
          <w:sz w:val="16"/>
          <w:szCs w:val="16"/>
        </w:rPr>
        <w:t xml:space="preserve"> sul documento prodotto dal sistema automatizzato, del nominativo del soggetto responsabile ai sensi dell'art.3, comma 2 del Decreto Legislativo n. 39/1993</w:t>
      </w:r>
    </w:p>
    <w:p w:rsidR="00000000" w:rsidRDefault="00F96563">
      <w:pPr>
        <w:rPr>
          <w:rFonts w:ascii="Arial" w:hAnsi="Arial" w:cs="Arial"/>
          <w:b/>
          <w:bCs/>
          <w:color w:val="008000"/>
          <w:sz w:val="24"/>
          <w:szCs w:val="24"/>
        </w:rPr>
      </w:pPr>
      <w:r>
        <w:rPr>
          <w:rFonts w:ascii="Bookman Old Style" w:hAnsi="Bookman Old Style" w:cs="Bookman Old Style"/>
          <w:sz w:val="16"/>
          <w:szCs w:val="16"/>
        </w:rPr>
        <w:br w:type="page"/>
      </w:r>
    </w:p>
    <w:p w:rsidR="00000000" w:rsidRDefault="00F96563">
      <w:pPr>
        <w:jc w:val="center"/>
        <w:rPr>
          <w:rFonts w:ascii="Bookman Old Style" w:hAnsi="Bookman Old Style" w:cs="Bookman Old Style"/>
          <w:b/>
          <w:bCs/>
          <w:color w:val="000000"/>
          <w:sz w:val="22"/>
          <w:szCs w:val="22"/>
        </w:rPr>
      </w:pPr>
      <w:r>
        <w:rPr>
          <w:rFonts w:ascii="Bookman Old Style" w:hAnsi="Bookman Old Style" w:cs="Bookman Old Style"/>
          <w:b/>
          <w:bCs/>
          <w:color w:val="000000"/>
          <w:sz w:val="22"/>
          <w:szCs w:val="22"/>
        </w:rPr>
        <w:t>PARERE DI REGOLARITA' TECNICA</w:t>
      </w:r>
    </w:p>
    <w:p w:rsidR="00000000" w:rsidRDefault="00F96563">
      <w:pPr>
        <w:jc w:val="center"/>
        <w:rPr>
          <w:rFonts w:ascii="Bookman Old Style" w:hAnsi="Bookman Old Style" w:cs="Bookman Old Style"/>
          <w:b/>
          <w:bCs/>
          <w:color w:val="000000"/>
          <w:sz w:val="22"/>
          <w:szCs w:val="22"/>
        </w:rPr>
      </w:pPr>
    </w:p>
    <w:p w:rsidR="00000000" w:rsidRDefault="00F96563">
      <w:pPr>
        <w:spacing w:line="360" w:lineRule="auto"/>
        <w:jc w:val="both"/>
        <w:rPr>
          <w:rFonts w:ascii="Bookman Old Style" w:hAnsi="Bookman Old Style" w:cs="Bookman Old Style"/>
          <w:color w:val="000000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Si esprime parere favorevole attestante la regolarità</w:t>
      </w:r>
      <w:r>
        <w:rPr>
          <w:rFonts w:ascii="Bookman Old Style" w:hAnsi="Bookman Old Style" w:cs="Bookman Old Style"/>
          <w:sz w:val="22"/>
          <w:szCs w:val="22"/>
        </w:rPr>
        <w:t xml:space="preserve"> e la correttezza dell'azione amministrativa, ai sensi dell'articolo 147-bis, comma 1, del vigente Decreto Legislativo n. 267/2000, sul presente atto</w:t>
      </w:r>
      <w:r>
        <w:rPr>
          <w:rFonts w:ascii="Bookman Old Style" w:hAnsi="Bookman Old Style" w:cs="Bookman Old Style"/>
          <w:color w:val="000000"/>
          <w:sz w:val="22"/>
          <w:szCs w:val="22"/>
        </w:rPr>
        <w:t>:</w:t>
      </w:r>
    </w:p>
    <w:p w:rsidR="00000000" w:rsidRDefault="00F96563">
      <w:pPr>
        <w:rPr>
          <w:rFonts w:ascii="Arial" w:hAnsi="Arial" w:cs="Arial"/>
          <w:b/>
          <w:bCs/>
          <w:color w:val="800080"/>
          <w:sz w:val="24"/>
          <w:szCs w:val="24"/>
        </w:rPr>
      </w:pPr>
    </w:p>
    <w:tbl>
      <w:tblPr>
        <w:tblW w:w="96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4"/>
        <w:gridCol w:w="2438"/>
        <w:gridCol w:w="510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Bookman Old Style" w:hAnsi="Bookman Old Style" w:cs="Bookman Old Style"/>
                <w:color w:val="000000"/>
                <w:sz w:val="22"/>
                <w:szCs w:val="22"/>
              </w:rPr>
              <w:t>Ariano Irpino</w:t>
            </w:r>
            <w:r>
              <w:rPr>
                <w:rFonts w:ascii="Bookman Old Style" w:hAnsi="Bookman Old Style" w:cs="Bookman Old Style"/>
                <w:color w:val="800080"/>
                <w:sz w:val="22"/>
                <w:szCs w:val="22"/>
              </w:rPr>
              <w:t xml:space="preserve"> </w:t>
            </w:r>
            <w:r>
              <w:rPr>
                <w:rFonts w:ascii="Bookman Old Style" w:hAnsi="Bookman Old Style" w:cs="Bookman Old Style"/>
                <w:color w:val="000000"/>
                <w:sz w:val="22"/>
                <w:szCs w:val="22"/>
              </w:rPr>
              <w:t>lì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Bookman Old Style"/>
                <w:sz w:val="22"/>
                <w:szCs w:val="22"/>
              </w:rPr>
              <w:t>04/12/2025</w:t>
            </w: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Bookman Old Style" w:hAnsi="Bookman Old Style" w:cs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</w:rPr>
              <w:t xml:space="preserve">           </w:t>
            </w:r>
            <w:r>
              <w:rPr>
                <w:rFonts w:ascii="Bookman Old Style" w:hAnsi="Bookman Old Style" w:cs="Bookman Old Style"/>
                <w:color w:val="000000"/>
                <w:sz w:val="24"/>
                <w:szCs w:val="24"/>
              </w:rPr>
              <w:t>Il Funzionario che Espresso il parere</w:t>
            </w:r>
          </w:p>
          <w:p w:rsidR="00000000" w:rsidRDefault="00F96563">
            <w:pPr>
              <w:jc w:val="center"/>
              <w:rPr>
                <w:rFonts w:ascii="Bookman Old Style" w:hAnsi="Bookman Old Style" w:cs="Bookman Old Style"/>
                <w:color w:val="000000"/>
              </w:rPr>
            </w:pPr>
            <w:r>
              <w:rPr>
                <w:rFonts w:ascii="Bookman Old Style" w:hAnsi="Bookman Old Style" w:cs="Bookman Old Style"/>
                <w:color w:val="000000"/>
              </w:rPr>
              <w:t xml:space="preserve">         DIP. VINCENZO SOL</w:t>
            </w:r>
            <w:r>
              <w:rPr>
                <w:rFonts w:ascii="Bookman Old Style" w:hAnsi="Bookman Old Style" w:cs="Bookman Old Style"/>
                <w:color w:val="000000"/>
              </w:rPr>
              <w:t>OMITA</w:t>
            </w:r>
          </w:p>
          <w:p w:rsidR="00000000" w:rsidRDefault="00F96563">
            <w:pPr>
              <w:rPr>
                <w:rFonts w:ascii="Bookman Old Style" w:hAnsi="Bookman Old Style" w:cs="Bookman Old Style"/>
              </w:rPr>
            </w:pPr>
          </w:p>
        </w:tc>
      </w:tr>
    </w:tbl>
    <w:p w:rsidR="00000000" w:rsidRDefault="00F96563">
      <w:pPr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Firma autografa sostituita dall'indicazione a stampa, sul documento prodotto dal sistema automatizzato, del nominativo del soggetto responsabile ai sensi dell'art.3, comma 2 del Decreto Legislativo n. 39/1993</w:t>
      </w:r>
    </w:p>
    <w:p w:rsidR="00000000" w:rsidRDefault="00F96563">
      <w:pPr>
        <w:rPr>
          <w:rFonts w:ascii="Arial" w:hAnsi="Arial" w:cs="Arial"/>
          <w:b/>
          <w:bCs/>
          <w:color w:val="008000"/>
          <w:sz w:val="24"/>
          <w:szCs w:val="24"/>
        </w:rPr>
      </w:pPr>
    </w:p>
    <w:p w:rsidR="00000000" w:rsidRDefault="00F96563">
      <w:pPr>
        <w:rPr>
          <w:rFonts w:ascii="Arial" w:hAnsi="Arial" w:cs="Arial"/>
          <w:b/>
          <w:bCs/>
          <w:color w:val="008000"/>
          <w:sz w:val="24"/>
          <w:szCs w:val="24"/>
        </w:rPr>
      </w:pPr>
    </w:p>
    <w:p w:rsidR="00000000" w:rsidRDefault="00F96563">
      <w:pPr>
        <w:rPr>
          <w:rFonts w:ascii="Arial" w:hAnsi="Arial" w:cs="Arial"/>
          <w:b/>
          <w:bCs/>
          <w:color w:val="008000"/>
          <w:sz w:val="24"/>
          <w:szCs w:val="24"/>
        </w:rPr>
      </w:pPr>
      <w:r>
        <w:rPr>
          <w:rFonts w:ascii="Arial" w:hAnsi="Arial" w:cs="Arial"/>
          <w:b/>
          <w:bCs/>
          <w:color w:val="008000"/>
          <w:sz w:val="24"/>
          <w:szCs w:val="24"/>
        </w:rPr>
        <w:t xml:space="preserve"> </w:t>
      </w:r>
    </w:p>
    <w:p w:rsidR="00000000" w:rsidRDefault="00F96563">
      <w:pPr>
        <w:rPr>
          <w:rFonts w:ascii="Arial" w:hAnsi="Arial" w:cs="Arial"/>
          <w:b/>
          <w:bCs/>
          <w:color w:val="008000"/>
          <w:sz w:val="24"/>
          <w:szCs w:val="24"/>
        </w:rPr>
      </w:pPr>
    </w:p>
    <w:p w:rsidR="00000000" w:rsidRDefault="00F96563">
      <w:pPr>
        <w:spacing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2"/>
          <w:szCs w:val="22"/>
        </w:rPr>
      </w:pPr>
      <w:r>
        <w:rPr>
          <w:rFonts w:ascii="Bookman Old Style" w:hAnsi="Bookman Old Style" w:cs="Bookman Old Style"/>
          <w:b/>
          <w:bCs/>
          <w:color w:val="000000"/>
          <w:sz w:val="22"/>
          <w:szCs w:val="22"/>
        </w:rPr>
        <w:t>VISTO DI REGOLARITÀ CONTABILE</w:t>
      </w:r>
    </w:p>
    <w:p w:rsidR="00000000" w:rsidRDefault="00F96563">
      <w:pPr>
        <w:spacing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2"/>
          <w:szCs w:val="22"/>
        </w:rPr>
      </w:pPr>
    </w:p>
    <w:p w:rsidR="00000000" w:rsidRDefault="00F96563">
      <w:pPr>
        <w:spacing w:line="360" w:lineRule="auto"/>
        <w:jc w:val="center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(Ar</w:t>
      </w:r>
      <w:r>
        <w:rPr>
          <w:rFonts w:ascii="Bookman Old Style" w:hAnsi="Bookman Old Style" w:cs="Bookman Old Style"/>
          <w:sz w:val="22"/>
          <w:szCs w:val="22"/>
        </w:rPr>
        <w:t>t. 183, comma 4, D.Lgs. 18 Agosto 2000, n. 267)</w:t>
      </w:r>
    </w:p>
    <w:p w:rsidR="00000000" w:rsidRDefault="00F96563">
      <w:pPr>
        <w:spacing w:line="360" w:lineRule="auto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Si attesta la regolarità contabile e la copertura finanziaria con imputazione ai seguenti capitoli: </w:t>
      </w:r>
    </w:p>
    <w:p w:rsidR="00000000" w:rsidRDefault="00F96563">
      <w:pPr>
        <w:spacing w:line="276" w:lineRule="auto"/>
        <w:rPr>
          <w:rFonts w:ascii="Bookman Old Style" w:hAnsi="Bookman Old Style" w:cs="Bookman Old Style"/>
          <w:sz w:val="22"/>
          <w:szCs w:val="22"/>
        </w:rPr>
      </w:pPr>
    </w:p>
    <w:tbl>
      <w:tblPr>
        <w:tblW w:w="96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2307"/>
        <w:gridCol w:w="409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Bookman Old Style"/>
                <w:sz w:val="22"/>
                <w:szCs w:val="22"/>
              </w:rPr>
              <w:t>Ariano Irpino, lì 04/12/2025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Bookman Old Style"/>
                <w:sz w:val="22"/>
                <w:szCs w:val="22"/>
              </w:rPr>
              <w:t>Il Responsabile del Servizio Finanziario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Bookman Old Style"/>
                <w:sz w:val="22"/>
                <w:szCs w:val="22"/>
              </w:rPr>
              <w:t>MANGANIELLO RAFFAELE</w:t>
            </w:r>
          </w:p>
        </w:tc>
      </w:tr>
    </w:tbl>
    <w:p w:rsidR="00000000" w:rsidRDefault="00F96563">
      <w:pPr>
        <w:rPr>
          <w:rFonts w:ascii="Arial" w:hAnsi="Arial" w:cs="Arial"/>
          <w:b/>
          <w:bCs/>
          <w:color w:val="008000"/>
          <w:sz w:val="24"/>
          <w:szCs w:val="24"/>
        </w:rPr>
      </w:pPr>
    </w:p>
    <w:p w:rsidR="00000000" w:rsidRDefault="00F96563">
      <w:pPr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Firma autografa sostituita dall'indicazione a stampa, sul documento prodotto dal sistema automatizzato, del nominativo del soggetto responsabile ai sensi dell'art.3, comma 2 del Decreto Legislativo n. 39/1993</w:t>
      </w:r>
    </w:p>
    <w:p w:rsidR="00000000" w:rsidRDefault="00F96563">
      <w:pPr>
        <w:rPr>
          <w:rFonts w:ascii="Bookman Old Style" w:hAnsi="Bookman Old Style" w:cs="Bookman Old Style"/>
          <w:sz w:val="16"/>
          <w:szCs w:val="16"/>
        </w:rPr>
      </w:pPr>
    </w:p>
    <w:p w:rsidR="00000000" w:rsidRDefault="00F96563">
      <w:pPr>
        <w:rPr>
          <w:rFonts w:ascii="Bookman Old Style" w:hAnsi="Bookman Old Style" w:cs="Bookman Old Style"/>
          <w:sz w:val="16"/>
          <w:szCs w:val="16"/>
        </w:rPr>
      </w:pPr>
    </w:p>
    <w:p w:rsidR="00000000" w:rsidRDefault="00F96563">
      <w:pPr>
        <w:spacing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2"/>
          <w:szCs w:val="22"/>
        </w:rPr>
      </w:pPr>
    </w:p>
    <w:p w:rsidR="00000000" w:rsidRDefault="00F96563">
      <w:pPr>
        <w:spacing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2"/>
          <w:szCs w:val="22"/>
        </w:rPr>
      </w:pPr>
      <w:r>
        <w:rPr>
          <w:rFonts w:ascii="Bookman Old Style" w:hAnsi="Bookman Old Style" w:cs="Bookman Old Style"/>
          <w:b/>
          <w:bCs/>
          <w:color w:val="000000"/>
          <w:sz w:val="22"/>
          <w:szCs w:val="22"/>
        </w:rPr>
        <w:t>CERTIFICATO DI ESECUTIVITA'</w:t>
      </w:r>
    </w:p>
    <w:p w:rsidR="00000000" w:rsidRDefault="00F96563">
      <w:pPr>
        <w:spacing w:line="360" w:lineRule="auto"/>
        <w:jc w:val="center"/>
        <w:rPr>
          <w:rFonts w:ascii="Bookman Old Style" w:hAnsi="Bookman Old Style" w:cs="Bookman Old Style"/>
          <w:b/>
          <w:bCs/>
          <w:color w:val="000000"/>
          <w:sz w:val="22"/>
          <w:szCs w:val="22"/>
        </w:rPr>
      </w:pPr>
    </w:p>
    <w:p w:rsidR="00000000" w:rsidRDefault="00F96563">
      <w:pPr>
        <w:spacing w:line="360" w:lineRule="auto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Si certifica che il presente atto è divenuto esecutivo in data 04/12/2025 </w:t>
      </w:r>
    </w:p>
    <w:p w:rsidR="00000000" w:rsidRDefault="00F96563">
      <w:pPr>
        <w:spacing w:line="360" w:lineRule="auto"/>
        <w:rPr>
          <w:rFonts w:ascii="Bookman Old Style" w:hAnsi="Bookman Old Style" w:cs="Bookman Old Style"/>
          <w:sz w:val="22"/>
          <w:szCs w:val="22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2"/>
        <w:gridCol w:w="3212"/>
        <w:gridCol w:w="321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Bookman Old Style"/>
                <w:sz w:val="22"/>
                <w:szCs w:val="22"/>
              </w:rPr>
              <w:t>Il DIRETTORE GENERALE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rPr>
                <w:rFonts w:ascii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F96563">
            <w:pPr>
              <w:jc w:val="center"/>
              <w:rPr>
                <w:rFonts w:ascii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Bookman Old Style"/>
                <w:sz w:val="22"/>
                <w:szCs w:val="22"/>
              </w:rPr>
              <w:t>Dott. Vincenzo Solomita</w:t>
            </w:r>
          </w:p>
        </w:tc>
      </w:tr>
    </w:tbl>
    <w:p w:rsidR="00000000" w:rsidRDefault="00F96563">
      <w:pPr>
        <w:rPr>
          <w:rFonts w:ascii="Bookman Old Style" w:hAnsi="Bookman Old Style" w:cs="Bookman Old Style"/>
          <w:sz w:val="22"/>
          <w:szCs w:val="22"/>
        </w:rPr>
      </w:pPr>
    </w:p>
    <w:p w:rsidR="00000000" w:rsidRDefault="00F96563">
      <w:pPr>
        <w:rPr>
          <w:rFonts w:ascii="Bookman Old Style" w:hAnsi="Bookman Old Style" w:cs="Bookman Old Style"/>
          <w:sz w:val="16"/>
          <w:szCs w:val="16"/>
        </w:rPr>
      </w:pPr>
      <w:r>
        <w:rPr>
          <w:rFonts w:ascii="Bookman Old Style" w:hAnsi="Bookman Old Style" w:cs="Bookman Old Style"/>
          <w:sz w:val="16"/>
          <w:szCs w:val="16"/>
        </w:rPr>
        <w:t>Firma autografa sostituita dall'indicazione a stampa, sul documento prodotto dal sistema automatizzato, del nominativo del sogg</w:t>
      </w:r>
      <w:r>
        <w:rPr>
          <w:rFonts w:ascii="Bookman Old Style" w:hAnsi="Bookman Old Style" w:cs="Bookman Old Style"/>
          <w:sz w:val="16"/>
          <w:szCs w:val="16"/>
        </w:rPr>
        <w:t>etto responsabile ai sensi dell'art.3, comma 2 del Decreto Legislativo n. 39/1993</w:t>
      </w:r>
    </w:p>
    <w:p w:rsidR="00000000" w:rsidRDefault="00F96563">
      <w:pPr>
        <w:spacing w:line="360" w:lineRule="auto"/>
        <w:jc w:val="center"/>
        <w:rPr>
          <w:rFonts w:ascii="Arial" w:hAnsi="Arial" w:cs="Arial"/>
          <w:b/>
          <w:bCs/>
          <w:color w:val="008000"/>
          <w:sz w:val="24"/>
          <w:szCs w:val="24"/>
        </w:rPr>
      </w:pPr>
    </w:p>
    <w:p w:rsidR="00F96563" w:rsidRDefault="00F96563" w:rsidP="00212C3D">
      <w:pPr>
        <w:spacing w:line="360" w:lineRule="auto"/>
        <w:rPr>
          <w:rFonts w:ascii="Arial" w:hAnsi="Arial" w:cs="Arial"/>
          <w:b/>
          <w:bCs/>
          <w:color w:val="008000"/>
          <w:sz w:val="24"/>
          <w:szCs w:val="24"/>
        </w:rPr>
      </w:pPr>
      <w:bookmarkStart w:id="0" w:name="_GoBack"/>
      <w:bookmarkEnd w:id="0"/>
    </w:p>
    <w:sectPr w:rsidR="00F96563">
      <w:pgSz w:w="11906" w:h="16838"/>
      <w:pgMar w:top="1440" w:right="1134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C3D"/>
    <w:rsid w:val="00212C3D"/>
    <w:rsid w:val="00F9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36D00"/>
  <w14:defaultImageDpi w14:val="0"/>
  <w15:docId w15:val="{5CFBF6E9-8C1F-4E19-88A1-A98CD35A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outlineLvl w:val="0"/>
    </w:pPr>
    <w:rPr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b/>
      <w:bCs/>
      <w:sz w:val="22"/>
      <w:szCs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Collegamentoipertestuale">
    <w:name w:val="Hyperlink"/>
    <w:basedOn w:val="Carpredefinitoparagrafo"/>
    <w:uiPriority w:val="99"/>
    <w:rPr>
      <w:color w:val="0000FF"/>
      <w:sz w:val="22"/>
      <w:szCs w:val="22"/>
      <w:u w:val="single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 w:cs="Times New Roman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Times New Roman" w:hAnsi="Times New Roman" w:cs="Times New Roman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DefinitionTerm">
    <w:name w:val="Definition Term"/>
    <w:basedOn w:val="Normale"/>
    <w:next w:val="DefinitionList"/>
    <w:uiPriority w:val="99"/>
    <w:rPr>
      <w:sz w:val="22"/>
      <w:szCs w:val="22"/>
    </w:rPr>
  </w:style>
  <w:style w:type="paragraph" w:customStyle="1" w:styleId="DefinitionList">
    <w:name w:val="Definition List"/>
    <w:basedOn w:val="Normale"/>
    <w:next w:val="DefinitionTerm"/>
    <w:uiPriority w:val="99"/>
    <w:pPr>
      <w:ind w:left="360"/>
    </w:pPr>
    <w:rPr>
      <w:sz w:val="22"/>
      <w:szCs w:val="22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H1">
    <w:name w:val="H1"/>
    <w:basedOn w:val="Normale"/>
    <w:next w:val="Normale"/>
    <w:uiPriority w:val="99"/>
    <w:pPr>
      <w:spacing w:before="100" w:after="100"/>
    </w:pPr>
    <w:rPr>
      <w:b/>
      <w:bCs/>
      <w:sz w:val="48"/>
      <w:szCs w:val="48"/>
    </w:rPr>
  </w:style>
  <w:style w:type="paragraph" w:customStyle="1" w:styleId="H2">
    <w:name w:val="H2"/>
    <w:basedOn w:val="Normale"/>
    <w:next w:val="Normale"/>
    <w:uiPriority w:val="99"/>
    <w:pPr>
      <w:spacing w:before="100" w:after="100"/>
    </w:pPr>
    <w:rPr>
      <w:b/>
      <w:bCs/>
      <w:sz w:val="36"/>
      <w:szCs w:val="36"/>
    </w:rPr>
  </w:style>
  <w:style w:type="paragraph" w:customStyle="1" w:styleId="H3">
    <w:name w:val="H3"/>
    <w:basedOn w:val="Normale"/>
    <w:next w:val="Normale"/>
    <w:uiPriority w:val="99"/>
    <w:pPr>
      <w:spacing w:before="100" w:after="100"/>
    </w:pPr>
    <w:rPr>
      <w:b/>
      <w:bCs/>
      <w:sz w:val="28"/>
      <w:szCs w:val="28"/>
    </w:rPr>
  </w:style>
  <w:style w:type="paragraph" w:customStyle="1" w:styleId="H4">
    <w:name w:val="H4"/>
    <w:basedOn w:val="Normale"/>
    <w:next w:val="Normale"/>
    <w:uiPriority w:val="99"/>
    <w:pPr>
      <w:spacing w:before="100" w:after="100"/>
    </w:pPr>
    <w:rPr>
      <w:b/>
      <w:bCs/>
      <w:sz w:val="24"/>
      <w:szCs w:val="24"/>
    </w:rPr>
  </w:style>
  <w:style w:type="paragraph" w:customStyle="1" w:styleId="H5">
    <w:name w:val="H5"/>
    <w:basedOn w:val="Normale"/>
    <w:next w:val="Normale"/>
    <w:uiPriority w:val="99"/>
    <w:pPr>
      <w:spacing w:before="100" w:after="100"/>
    </w:pPr>
    <w:rPr>
      <w:b/>
      <w:bCs/>
    </w:rPr>
  </w:style>
  <w:style w:type="paragraph" w:customStyle="1" w:styleId="H6">
    <w:name w:val="H6"/>
    <w:basedOn w:val="Normale"/>
    <w:next w:val="Normale"/>
    <w:uiPriority w:val="99"/>
    <w:pPr>
      <w:spacing w:before="100" w:after="100"/>
    </w:pPr>
    <w:rPr>
      <w:b/>
      <w:bCs/>
      <w:sz w:val="16"/>
      <w:szCs w:val="16"/>
    </w:rPr>
  </w:style>
  <w:style w:type="paragraph" w:customStyle="1" w:styleId="Address">
    <w:name w:val="Address"/>
    <w:basedOn w:val="Normale"/>
    <w:next w:val="Normale"/>
    <w:uiPriority w:val="99"/>
    <w:rPr>
      <w:i/>
      <w:iCs/>
      <w:sz w:val="22"/>
      <w:szCs w:val="22"/>
    </w:rPr>
  </w:style>
  <w:style w:type="paragraph" w:customStyle="1" w:styleId="Blockquote">
    <w:name w:val="Blockquote"/>
    <w:basedOn w:val="Normale"/>
    <w:uiPriority w:val="99"/>
    <w:pPr>
      <w:spacing w:before="100" w:after="100"/>
      <w:ind w:left="360" w:right="360"/>
    </w:pPr>
    <w:rPr>
      <w:sz w:val="22"/>
      <w:szCs w:val="22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Enfasicorsivo">
    <w:name w:val="Emphasis"/>
    <w:basedOn w:val="Carpredefinitoparagrafo"/>
    <w:uiPriority w:val="99"/>
    <w:qFormat/>
    <w:rPr>
      <w:i/>
      <w:iCs/>
      <w:sz w:val="22"/>
      <w:szCs w:val="22"/>
    </w:rPr>
  </w:style>
  <w:style w:type="character" w:styleId="Collegamentovisitato">
    <w:name w:val="FollowedHyperlink"/>
    <w:basedOn w:val="Carpredefinitoparagrafo"/>
    <w:uiPriority w:val="99"/>
    <w:rPr>
      <w:color w:val="800080"/>
      <w:sz w:val="22"/>
      <w:szCs w:val="22"/>
      <w:u w:val="single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Normale"/>
    <w:uiPriority w:val="99"/>
    <w:rPr>
      <w:rFonts w:ascii="Courier New" w:hAnsi="Courier New" w:cs="Courier New"/>
    </w:rPr>
  </w:style>
  <w:style w:type="paragraph" w:customStyle="1" w:styleId="z-BottomofForm">
    <w:name w:val="z-Bottom of Form"/>
    <w:next w:val="Normale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next w:val="Normale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character" w:styleId="Enfasigrassetto">
    <w:name w:val="Strong"/>
    <w:basedOn w:val="Carpredefinitoparagrafo"/>
    <w:uiPriority w:val="99"/>
    <w:qFormat/>
    <w:rPr>
      <w:b/>
      <w:bCs/>
      <w:sz w:val="22"/>
      <w:szCs w:val="22"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vanish/>
      <w:color w:val="FF0000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vanish/>
    </w:rPr>
  </w:style>
  <w:style w:type="paragraph" w:styleId="NormaleWeb">
    <w:name w:val="Normal (Web)"/>
    <w:basedOn w:val="Normale"/>
    <w:uiPriority w:val="99"/>
    <w:pPr>
      <w:spacing w:before="100" w:after="10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1771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di pietro</dc:creator>
  <cp:keywords/>
  <dc:description/>
  <cp:lastModifiedBy>Enrico di pietro</cp:lastModifiedBy>
  <cp:revision>2</cp:revision>
  <dcterms:created xsi:type="dcterms:W3CDTF">2025-12-04T09:54:00Z</dcterms:created>
  <dcterms:modified xsi:type="dcterms:W3CDTF">2025-12-04T09:54:00Z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alias">
    <vt:lpwstr>27</vt:lpwstr>
  </property>
  <property fmtid="{D5CDD505-2E9C-101B-9397-08002B2CF9AE}" pid="3" name="alias">
    <vt:lpwstr>DELIB</vt:lpwstr>
  </property>
  <property fmtid="{D5CDD505-2E9C-101B-9397-08002B2CF9AE}" pid="4" name="contesto">
    <vt:lpwstr>2</vt:lpwstr>
  </property>
</Properties>
</file>